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8789" w:val="left"/>
        </w:tabs>
        <w:ind/>
        <w:jc w:val="right"/>
        <w:rPr>
          <w:sz w:val="28"/>
        </w:rPr>
      </w:pPr>
      <w:r>
        <w:rPr>
          <w:sz w:val="28"/>
        </w:rPr>
        <w:t xml:space="preserve">                                                                    </w:t>
      </w:r>
    </w:p>
    <w:p w14:paraId="02000000">
      <w:pPr>
        <w:ind/>
        <w:jc w:val="center"/>
        <w:rPr>
          <w:b w:val="1"/>
          <w:sz w:val="40"/>
        </w:rPr>
      </w:pPr>
    </w:p>
    <w:p w14:paraId="03000000">
      <w:pPr>
        <w:ind/>
        <w:jc w:val="center"/>
        <w:rPr>
          <w:b w:val="1"/>
          <w:sz w:val="40"/>
        </w:rPr>
      </w:pPr>
    </w:p>
    <w:p w14:paraId="04000000">
      <w:pPr>
        <w:ind/>
        <w:jc w:val="center"/>
        <w:rPr>
          <w:b w:val="1"/>
          <w:sz w:val="40"/>
        </w:rPr>
      </w:pPr>
    </w:p>
    <w:p w14:paraId="05000000">
      <w:pPr>
        <w:ind/>
        <w:jc w:val="center"/>
        <w:rPr>
          <w:b w:val="1"/>
          <w:sz w:val="40"/>
        </w:rPr>
      </w:pPr>
    </w:p>
    <w:p w14:paraId="06000000">
      <w:pPr>
        <w:ind/>
        <w:jc w:val="center"/>
        <w:rPr>
          <w:b w:val="1"/>
          <w:sz w:val="40"/>
        </w:rPr>
      </w:pPr>
    </w:p>
    <w:p w14:paraId="07000000">
      <w:pPr>
        <w:ind/>
        <w:jc w:val="center"/>
        <w:rPr>
          <w:b w:val="1"/>
          <w:sz w:val="40"/>
        </w:rPr>
      </w:pPr>
    </w:p>
    <w:p w14:paraId="08000000">
      <w:pPr>
        <w:rPr>
          <w:b w:val="1"/>
          <w:sz w:val="40"/>
        </w:rPr>
      </w:pPr>
    </w:p>
    <w:p w14:paraId="09000000">
      <w:pPr>
        <w:ind/>
        <w:jc w:val="center"/>
        <w:rPr>
          <w:b w:val="1"/>
          <w:sz w:val="48"/>
        </w:rPr>
      </w:pPr>
    </w:p>
    <w:p w14:paraId="0A000000">
      <w:pPr>
        <w:tabs>
          <w:tab w:leader="none" w:pos="3060" w:val="left"/>
        </w:tabs>
        <w:ind/>
        <w:jc w:val="center"/>
        <w:rPr>
          <w:b w:val="1"/>
          <w:sz w:val="48"/>
        </w:rPr>
      </w:pPr>
      <w:r>
        <w:rPr>
          <w:b w:val="1"/>
          <w:sz w:val="48"/>
        </w:rPr>
        <w:t>Образовательная программа</w:t>
      </w:r>
    </w:p>
    <w:p w14:paraId="0B000000">
      <w:pPr>
        <w:ind/>
        <w:jc w:val="center"/>
        <w:rPr>
          <w:b w:val="1"/>
          <w:sz w:val="48"/>
        </w:rPr>
      </w:pPr>
      <w:r>
        <w:rPr>
          <w:b w:val="1"/>
          <w:sz w:val="48"/>
        </w:rPr>
        <w:t>дополнительного образования</w:t>
      </w:r>
    </w:p>
    <w:p w14:paraId="0C000000">
      <w:pPr>
        <w:ind/>
        <w:jc w:val="center"/>
        <w:rPr>
          <w:b w:val="1"/>
          <w:sz w:val="48"/>
        </w:rPr>
      </w:pPr>
    </w:p>
    <w:p w14:paraId="0D000000">
      <w:pPr>
        <w:ind/>
        <w:jc w:val="center"/>
        <w:rPr>
          <w:b w:val="1"/>
          <w:sz w:val="48"/>
        </w:rPr>
      </w:pPr>
    </w:p>
    <w:p w14:paraId="0E000000">
      <w:pPr>
        <w:rPr>
          <w:b w:val="1"/>
        </w:rPr>
      </w:pPr>
    </w:p>
    <w:p w14:paraId="0F000000"/>
    <w:p w14:paraId="10000000"/>
    <w:p w14:paraId="11000000"/>
    <w:p w14:paraId="12000000"/>
    <w:p w14:paraId="13000000"/>
    <w:p w14:paraId="14000000"/>
    <w:p w14:paraId="15000000"/>
    <w:p w14:paraId="16000000"/>
    <w:p w14:paraId="17000000"/>
    <w:p w14:paraId="18000000"/>
    <w:p w14:paraId="19000000"/>
    <w:p w14:paraId="1A000000"/>
    <w:p w14:paraId="1B000000"/>
    <w:p w14:paraId="1C000000"/>
    <w:p w14:paraId="1D000000"/>
    <w:p w14:paraId="1E000000"/>
    <w:p w14:paraId="1F000000"/>
    <w:p w14:paraId="20000000"/>
    <w:p w14:paraId="21000000"/>
    <w:p w14:paraId="22000000">
      <w:pPr>
        <w:ind/>
        <w:jc w:val="center"/>
        <w:rPr>
          <w:b w:val="1"/>
          <w:sz w:val="28"/>
        </w:rPr>
      </w:pPr>
    </w:p>
    <w:p w14:paraId="23000000">
      <w:pPr>
        <w:ind/>
        <w:jc w:val="center"/>
        <w:rPr>
          <w:b w:val="1"/>
          <w:sz w:val="28"/>
        </w:rPr>
      </w:pPr>
    </w:p>
    <w:p w14:paraId="24000000">
      <w:pPr>
        <w:ind/>
        <w:jc w:val="center"/>
        <w:rPr>
          <w:b w:val="1"/>
          <w:sz w:val="28"/>
        </w:rPr>
      </w:pPr>
    </w:p>
    <w:p w14:paraId="25000000">
      <w:pPr>
        <w:ind/>
        <w:jc w:val="center"/>
        <w:rPr>
          <w:b w:val="1"/>
          <w:sz w:val="28"/>
        </w:rPr>
      </w:pPr>
    </w:p>
    <w:p w14:paraId="26000000">
      <w:pPr>
        <w:ind/>
        <w:jc w:val="center"/>
        <w:rPr>
          <w:b w:val="1"/>
          <w:sz w:val="28"/>
        </w:rPr>
      </w:pPr>
    </w:p>
    <w:p w14:paraId="27000000">
      <w:pPr>
        <w:ind/>
        <w:jc w:val="center"/>
        <w:rPr>
          <w:b w:val="1"/>
          <w:sz w:val="28"/>
        </w:rPr>
      </w:pPr>
    </w:p>
    <w:p w14:paraId="28000000">
      <w:pPr>
        <w:ind/>
        <w:jc w:val="center"/>
        <w:rPr>
          <w:b w:val="1"/>
          <w:sz w:val="28"/>
        </w:rPr>
      </w:pPr>
    </w:p>
    <w:p w14:paraId="29000000">
      <w:pPr>
        <w:ind/>
        <w:jc w:val="center"/>
        <w:rPr>
          <w:b w:val="1"/>
          <w:sz w:val="28"/>
        </w:rPr>
      </w:pPr>
    </w:p>
    <w:p w14:paraId="2A000000">
      <w:pPr>
        <w:ind w:firstLine="531" w:left="177"/>
      </w:pPr>
      <w:r>
        <w:t xml:space="preserve">Рабочая программа для </w:t>
      </w:r>
      <w:r>
        <w:t xml:space="preserve">дошкольного обучения разработана </w:t>
      </w:r>
      <w:r>
        <w:t>в соответствии с требованиями Федерального государственного образовательного стандарта</w:t>
      </w:r>
      <w:r>
        <w:t>,</w:t>
      </w:r>
      <w:r>
        <w:t xml:space="preserve"> </w:t>
      </w:r>
      <w:r>
        <w:t>Концепции духовно-нравственного развития и воспит</w:t>
      </w:r>
      <w:r>
        <w:t xml:space="preserve">ания личности гражданина России, </w:t>
      </w:r>
      <w:r>
        <w:t xml:space="preserve">на основе </w:t>
      </w:r>
      <w:r>
        <w:t>учебного пособия «Математические ступеньки» . /</w:t>
      </w:r>
      <w:r>
        <w:t xml:space="preserve"> С.И.Волкова.- М.: Просвещение,</w:t>
      </w:r>
      <w:r>
        <w:t xml:space="preserve"> 2020. и учебного пособия</w:t>
      </w:r>
      <w:r>
        <w:t xml:space="preserve"> «От слова к букве». / Н.А.Федосова. – М.: Просвещение, 2020. ,которые входят в программно-методический комплекс «Преемственность» и соответствуют ФГОС дошкольного образования.</w:t>
      </w:r>
    </w:p>
    <w:p w14:paraId="2B000000">
      <w:pPr>
        <w:ind w:firstLine="531" w:left="177"/>
      </w:pPr>
    </w:p>
    <w:p w14:paraId="2C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Пояснительная записка</w:t>
      </w:r>
    </w:p>
    <w:p w14:paraId="2D000000">
      <w:pPr>
        <w:ind/>
        <w:jc w:val="both"/>
      </w:pPr>
    </w:p>
    <w:p w14:paraId="2E000000">
      <w:pPr>
        <w:ind/>
        <w:jc w:val="both"/>
      </w:pPr>
      <w:r>
        <w:t xml:space="preserve">         В условиях гуманизации, вариативности, демократизации образования всё более актуальной становится проблема обеспечения преемственности на разных ступенях обучения. При переходе на программу 1-4 и снижения возраста начала обучения – 6,5 лет – наиболее остро проявилась на практике необходимость решения проблемы преемственности дошкольного и на</w:t>
      </w:r>
      <w:r>
        <w:t>чального обучения.</w:t>
      </w:r>
    </w:p>
    <w:p w14:paraId="2F000000">
      <w:pPr>
        <w:ind/>
        <w:jc w:val="both"/>
      </w:pPr>
      <w:r>
        <w:t xml:space="preserve">         </w:t>
      </w:r>
      <w:r>
        <w:t>За последние годы в педагогической практике дошкольного образования появилось множество программ, пособий, но не все они реализуют идеи личностно ориентированного образования, не все они позволяют сохранить единое образовательное пространство н</w:t>
      </w:r>
      <w:r>
        <w:t>а дальнейших ступенях обучения.</w:t>
      </w:r>
    </w:p>
    <w:p w14:paraId="30000000">
      <w:pPr>
        <w:ind/>
        <w:jc w:val="both"/>
      </w:pPr>
      <w:r>
        <w:t xml:space="preserve">         </w:t>
      </w:r>
      <w:r>
        <w:t xml:space="preserve"> Предшкольная подготовка нами задумывается в рамках личностно-коммуникативной модели обучения. Программа предшкольной подготовки – это попытка, с одной стороны, преодолеть барьер между двумя ступенями образования; с другой стороны, подготовить ученика к обучению в рамках личностно-коммуникативной модели начального обучения. Программа занятий предшкольной подготовки основана на формах, методах, видах деятельности, соответствующих возрастным особенностям детей старшего дошкольного возраста. В то же время программа позволяет детям освоить важные «стартовые» предметные знания, умения и навыки, формирует у них более точное представление о школе и роли ученика в ней. Программа реализует принципы личностно-коммуникативного образования, суть которых заключается в раскрытии и развитии индивидуальных возможностей и способностей детей; выявление </w:t>
      </w:r>
      <w:r>
        <w:t>их</w:t>
      </w:r>
      <w:r>
        <w:t xml:space="preserve"> опыта жизнедеятельности; создание благоприятных условий для реализации активности, самостоятельности, формирования коммуникативных </w:t>
      </w:r>
      <w:r>
        <w:t xml:space="preserve">умений. </w:t>
      </w:r>
    </w:p>
    <w:p w14:paraId="31000000">
      <w:pPr>
        <w:ind/>
        <w:jc w:val="both"/>
      </w:pPr>
      <w:r>
        <w:t xml:space="preserve">        </w:t>
      </w:r>
      <w:r>
        <w:t xml:space="preserve"> Программа носит ярко выраженный развивающий характер. Новые понятия и представления дети приобретают </w:t>
      </w:r>
      <w:r>
        <w:t>в различных видах деятельности.</w:t>
      </w:r>
    </w:p>
    <w:p w14:paraId="32000000">
      <w:pPr>
        <w:ind/>
        <w:jc w:val="both"/>
      </w:pPr>
      <w:r>
        <w:t xml:space="preserve">         </w:t>
      </w:r>
    </w:p>
    <w:p w14:paraId="33000000">
      <w:pPr>
        <w:ind/>
        <w:jc w:val="both"/>
      </w:pPr>
    </w:p>
    <w:p w14:paraId="34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Цели и задачи предшкольной подготовки</w:t>
      </w:r>
    </w:p>
    <w:p w14:paraId="35000000">
      <w:pPr>
        <w:ind/>
        <w:jc w:val="both"/>
      </w:pPr>
    </w:p>
    <w:p w14:paraId="36000000">
      <w:pPr>
        <w:ind/>
        <w:jc w:val="both"/>
      </w:pPr>
      <w:r>
        <w:t xml:space="preserve">         Работа с детьми в подготовительном классе основывается на ценностях личностно</w:t>
      </w:r>
      <w:r>
        <w:t>-</w:t>
      </w:r>
      <w:r>
        <w:t xml:space="preserve"> ориентированного образования, которые заключаются в признании ценности личности каждого ребенка и нацеленности обучения на раскрытие</w:t>
      </w:r>
      <w:r>
        <w:t xml:space="preserve"> и развитие его индивидуальности.</w:t>
      </w:r>
    </w:p>
    <w:p w14:paraId="37000000">
      <w:pPr>
        <w:ind/>
        <w:jc w:val="both"/>
      </w:pPr>
      <w:r>
        <w:t xml:space="preserve"> </w:t>
      </w:r>
      <w:r>
        <w:t xml:space="preserve">      </w:t>
      </w:r>
      <w:r>
        <w:t xml:space="preserve"> Программа предшкольной подготовки направлена на формирование личностных качеств, которые позволяют детям быть успешными при обучении в современной школе. Стратегическая цель программы заключается в том, чтобы способствовать общему развитию ребенка, формировать пе</w:t>
      </w:r>
      <w:r>
        <w:t>рвичную целостную картину мира.</w:t>
      </w:r>
    </w:p>
    <w:p w14:paraId="38000000">
      <w:pPr>
        <w:ind/>
        <w:jc w:val="both"/>
      </w:pPr>
      <w:r>
        <w:t xml:space="preserve">      </w:t>
      </w:r>
      <w:r>
        <w:t xml:space="preserve">  Для достижения целей предшкольного обучения необходимо формирование у детей умений необходимых для успешного обучения на нач</w:t>
      </w:r>
      <w:r>
        <w:t>альной ступени общего обучения:</w:t>
      </w:r>
    </w:p>
    <w:p w14:paraId="39000000">
      <w:pPr>
        <w:ind/>
        <w:jc w:val="both"/>
      </w:pPr>
    </w:p>
    <w:p w14:paraId="3A000000">
      <w:pPr>
        <w:ind/>
        <w:jc w:val="both"/>
      </w:pPr>
      <w:r>
        <w:t>- самостоятельность;</w:t>
      </w:r>
    </w:p>
    <w:p w14:paraId="3B000000">
      <w:pPr>
        <w:ind/>
        <w:jc w:val="both"/>
      </w:pPr>
    </w:p>
    <w:p w14:paraId="3C000000">
      <w:pPr>
        <w:ind/>
        <w:jc w:val="both"/>
      </w:pPr>
      <w:r>
        <w:t>- инициативность;</w:t>
      </w:r>
    </w:p>
    <w:p w14:paraId="3D000000">
      <w:pPr>
        <w:ind/>
        <w:jc w:val="both"/>
      </w:pPr>
    </w:p>
    <w:p w14:paraId="3E000000">
      <w:pPr>
        <w:ind/>
        <w:jc w:val="both"/>
      </w:pPr>
      <w:r>
        <w:t>- ответственность;</w:t>
      </w:r>
    </w:p>
    <w:p w14:paraId="3F000000">
      <w:pPr>
        <w:ind/>
        <w:jc w:val="both"/>
      </w:pPr>
    </w:p>
    <w:p w14:paraId="40000000">
      <w:pPr>
        <w:ind/>
        <w:jc w:val="both"/>
      </w:pPr>
      <w:r>
        <w:t>- творчество;</w:t>
      </w:r>
    </w:p>
    <w:p w14:paraId="41000000">
      <w:pPr>
        <w:ind/>
        <w:jc w:val="both"/>
      </w:pPr>
    </w:p>
    <w:p w14:paraId="42000000">
      <w:pPr>
        <w:ind/>
        <w:jc w:val="both"/>
      </w:pPr>
      <w:r>
        <w:t xml:space="preserve">- предметная </w:t>
      </w:r>
      <w:r>
        <w:t xml:space="preserve"> компетентность;</w:t>
      </w:r>
    </w:p>
    <w:p w14:paraId="43000000">
      <w:pPr>
        <w:ind/>
        <w:jc w:val="both"/>
      </w:pPr>
    </w:p>
    <w:p w14:paraId="44000000">
      <w:pPr>
        <w:ind/>
        <w:jc w:val="both"/>
      </w:pPr>
      <w:r>
        <w:t>-</w:t>
      </w:r>
      <w:r>
        <w:t xml:space="preserve"> коммуникативность.</w:t>
      </w:r>
    </w:p>
    <w:p w14:paraId="45000000">
      <w:pPr>
        <w:ind/>
        <w:jc w:val="both"/>
      </w:pPr>
    </w:p>
    <w:p w14:paraId="46000000">
      <w:pPr>
        <w:ind/>
        <w:jc w:val="both"/>
      </w:pPr>
      <w:r>
        <w:t xml:space="preserve">         Адаптация ребенка к школьному обучению пройдет боле</w:t>
      </w:r>
      <w:r>
        <w:t>е быстро и гладко, если у него развиты:</w:t>
      </w:r>
    </w:p>
    <w:p w14:paraId="47000000">
      <w:pPr>
        <w:ind/>
        <w:jc w:val="both"/>
      </w:pPr>
      <w:r>
        <w:t xml:space="preserve"> а) </w:t>
      </w:r>
      <w:r>
        <w:t>познавательные интересы;</w:t>
      </w:r>
    </w:p>
    <w:p w14:paraId="48000000">
      <w:pPr>
        <w:ind/>
        <w:jc w:val="both"/>
      </w:pPr>
      <w:r>
        <w:t xml:space="preserve"> б) </w:t>
      </w:r>
      <w:r>
        <w:t>умение произвольно управлять своим поведением;</w:t>
      </w:r>
    </w:p>
    <w:p w14:paraId="49000000">
      <w:pPr>
        <w:ind/>
        <w:jc w:val="both"/>
      </w:pPr>
      <w:r>
        <w:t xml:space="preserve"> в) </w:t>
      </w:r>
      <w:r>
        <w:t>способность широко использовать основные мыслительные процессы;</w:t>
      </w:r>
    </w:p>
    <w:p w14:paraId="4A000000">
      <w:pPr>
        <w:ind/>
        <w:jc w:val="both"/>
      </w:pPr>
      <w:r>
        <w:t xml:space="preserve"> г) </w:t>
      </w:r>
      <w:r>
        <w:t>коммуникативные компетенции;</w:t>
      </w:r>
    </w:p>
    <w:p w14:paraId="4B000000">
      <w:pPr>
        <w:ind/>
        <w:jc w:val="both"/>
      </w:pPr>
      <w:r>
        <w:t xml:space="preserve"> д) </w:t>
      </w:r>
      <w:r>
        <w:t>внимание, память, фонематическое восприятие;</w:t>
      </w:r>
    </w:p>
    <w:p w14:paraId="4C000000">
      <w:pPr>
        <w:ind/>
        <w:jc w:val="both"/>
      </w:pPr>
      <w:r>
        <w:t xml:space="preserve"> е) </w:t>
      </w:r>
      <w:r>
        <w:t>умение</w:t>
      </w:r>
      <w:r>
        <w:t xml:space="preserve"> контролировать свои действия. </w:t>
      </w:r>
    </w:p>
    <w:p w14:paraId="4D000000"/>
    <w:p w14:paraId="4E000000">
      <w:pPr>
        <w:ind/>
        <w:jc w:val="both"/>
      </w:pPr>
      <w:r>
        <w:t xml:space="preserve">         Реализация программы предшкольной подготовки базируется на комплексном подходе путем создания целостной образовательной среды. Программа включает</w:t>
      </w:r>
      <w:r>
        <w:t xml:space="preserve"> 3</w:t>
      </w:r>
      <w:r>
        <w:t>,тесно взаимосвязанных, блока</w:t>
      </w:r>
      <w:r>
        <w:t>.</w:t>
      </w:r>
    </w:p>
    <w:p w14:paraId="4F000000">
      <w:pPr>
        <w:ind/>
        <w:jc w:val="both"/>
      </w:pPr>
    </w:p>
    <w:p w14:paraId="50000000">
      <w:pPr>
        <w:ind/>
        <w:jc w:val="both"/>
      </w:pPr>
      <w:r>
        <w:t xml:space="preserve"> </w:t>
      </w:r>
    </w:p>
    <w:p w14:paraId="51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Учебная программа</w:t>
      </w:r>
    </w:p>
    <w:p w14:paraId="52000000">
      <w:pPr>
        <w:ind/>
        <w:jc w:val="both"/>
      </w:pPr>
    </w:p>
    <w:p w14:paraId="53000000">
      <w:pPr>
        <w:ind/>
        <w:jc w:val="both"/>
      </w:pPr>
      <w:r>
        <w:t xml:space="preserve">     </w:t>
      </w:r>
      <w:r>
        <w:t>Учебная программа опирается на принципы лично</w:t>
      </w:r>
      <w:r>
        <w:t>стно-коммуникативного обучения:</w:t>
      </w:r>
    </w:p>
    <w:p w14:paraId="54000000">
      <w:pPr>
        <w:numPr>
          <w:ilvl w:val="0"/>
          <w:numId w:val="1"/>
        </w:numPr>
        <w:ind/>
        <w:jc w:val="both"/>
      </w:pPr>
      <w:r>
        <w:t>п</w:t>
      </w:r>
      <w:r>
        <w:t>ринцип непрерывного общего развития и саморазвития каждого ребенка (эмоциональное, духовно-нравственное, интеллектуально и т.д.)</w:t>
      </w:r>
      <w:r>
        <w:t>;</w:t>
      </w:r>
      <w:r>
        <w:t xml:space="preserve"> </w:t>
      </w:r>
    </w:p>
    <w:p w14:paraId="55000000">
      <w:pPr>
        <w:numPr>
          <w:ilvl w:val="0"/>
          <w:numId w:val="1"/>
        </w:numPr>
        <w:ind/>
        <w:jc w:val="both"/>
      </w:pPr>
      <w:r>
        <w:t>п</w:t>
      </w:r>
      <w:r>
        <w:t>ринцип целостности картины мира</w:t>
      </w:r>
      <w:r>
        <w:t>;</w:t>
      </w:r>
      <w:r>
        <w:t xml:space="preserve"> </w:t>
      </w:r>
    </w:p>
    <w:p w14:paraId="56000000">
      <w:pPr>
        <w:numPr>
          <w:ilvl w:val="0"/>
          <w:numId w:val="1"/>
        </w:numPr>
        <w:ind/>
        <w:jc w:val="both"/>
      </w:pPr>
      <w:r>
        <w:t>п</w:t>
      </w:r>
      <w:r>
        <w:t>ринцип практической направленности</w:t>
      </w:r>
      <w:r>
        <w:t>;</w:t>
      </w:r>
      <w:r>
        <w:t xml:space="preserve"> </w:t>
      </w:r>
    </w:p>
    <w:p w14:paraId="57000000">
      <w:pPr>
        <w:numPr>
          <w:ilvl w:val="0"/>
          <w:numId w:val="1"/>
        </w:numPr>
        <w:ind/>
        <w:jc w:val="both"/>
      </w:pPr>
      <w:r>
        <w:t>п</w:t>
      </w:r>
      <w:r>
        <w:t>ринцип учета индивидуальных возможностей и способностей каждого ребенка (обучения ребенка в зоне ближайшего развития)</w:t>
      </w:r>
      <w:r>
        <w:t>;</w:t>
      </w:r>
      <w:r>
        <w:t xml:space="preserve"> </w:t>
      </w:r>
    </w:p>
    <w:p w14:paraId="58000000">
      <w:pPr>
        <w:numPr>
          <w:ilvl w:val="0"/>
          <w:numId w:val="1"/>
        </w:numPr>
        <w:ind/>
        <w:jc w:val="both"/>
      </w:pPr>
      <w:r>
        <w:t>п</w:t>
      </w:r>
      <w:r>
        <w:t>ринцип прочности через осознанное и пошаговое введение всех понятий и представлений</w:t>
      </w:r>
      <w:r>
        <w:t>;</w:t>
      </w:r>
    </w:p>
    <w:p w14:paraId="59000000">
      <w:pPr>
        <w:numPr>
          <w:ilvl w:val="0"/>
          <w:numId w:val="1"/>
        </w:numPr>
        <w:ind/>
        <w:jc w:val="both"/>
      </w:pPr>
      <w:r>
        <w:t>п</w:t>
      </w:r>
      <w:r>
        <w:t>ринцип наглядности</w:t>
      </w:r>
      <w:r>
        <w:t>;</w:t>
      </w:r>
      <w:r>
        <w:t xml:space="preserve"> </w:t>
      </w:r>
    </w:p>
    <w:p w14:paraId="5A000000">
      <w:pPr>
        <w:numPr>
          <w:ilvl w:val="0"/>
          <w:numId w:val="1"/>
        </w:numPr>
        <w:ind/>
        <w:jc w:val="both"/>
      </w:pPr>
      <w:r>
        <w:t>п</w:t>
      </w:r>
      <w:r>
        <w:t>ринцип охраны и укрепления психического и физического здоровья ребенка</w:t>
      </w:r>
      <w:r>
        <w:t>.</w:t>
      </w:r>
      <w:r>
        <w:t xml:space="preserve"> </w:t>
      </w:r>
    </w:p>
    <w:p w14:paraId="5B000000">
      <w:pPr>
        <w:ind/>
        <w:jc w:val="both"/>
      </w:pPr>
    </w:p>
    <w:p w14:paraId="5C000000">
      <w:pPr>
        <w:ind/>
        <w:jc w:val="both"/>
      </w:pPr>
      <w:r>
        <w:t xml:space="preserve">      </w:t>
      </w:r>
      <w:r>
        <w:t>Программа включает мониторинг развития личностного, психологического и педагогического развития ребенка, что позволит определить уровень его готовн</w:t>
      </w:r>
      <w:r>
        <w:t>ости к школьному обучению</w:t>
      </w:r>
      <w:r>
        <w:t>, определить содержание индивидуального образовательного маршрута на этапе начального обучения.</w:t>
      </w:r>
    </w:p>
    <w:p w14:paraId="5D000000">
      <w:pPr>
        <w:ind/>
        <w:jc w:val="both"/>
      </w:pPr>
    </w:p>
    <w:p w14:paraId="5E000000">
      <w:pPr>
        <w:ind/>
        <w:jc w:val="both"/>
      </w:pPr>
      <w:r>
        <w:t xml:space="preserve"> </w:t>
      </w:r>
    </w:p>
    <w:p w14:paraId="5F000000">
      <w:pPr>
        <w:rPr>
          <w:b w:val="1"/>
          <w:sz w:val="28"/>
        </w:rPr>
      </w:pPr>
      <w:r>
        <w:t xml:space="preserve">                </w:t>
      </w:r>
      <w:r>
        <w:t xml:space="preserve">                    </w:t>
      </w:r>
      <w:r>
        <w:rPr>
          <w:b w:val="1"/>
          <w:sz w:val="28"/>
        </w:rPr>
        <w:t>Учебная программа занятий</w:t>
      </w:r>
    </w:p>
    <w:p w14:paraId="60000000">
      <w:pPr>
        <w:ind/>
        <w:jc w:val="both"/>
      </w:pPr>
    </w:p>
    <w:p w14:paraId="61000000">
      <w:pPr>
        <w:ind/>
        <w:jc w:val="both"/>
      </w:pPr>
      <w:r>
        <w:t xml:space="preserve">        Программа предшкольной подготовки решает задачи по формированию речевых, организационных, познавательных</w:t>
      </w:r>
      <w:r>
        <w:t xml:space="preserve">, коммуникативных компетенций. </w:t>
      </w:r>
    </w:p>
    <w:p w14:paraId="62000000">
      <w:pPr>
        <w:ind/>
        <w:jc w:val="both"/>
      </w:pPr>
      <w:r>
        <w:t xml:space="preserve">        Учитывая особенность детей 5-6 летнего возраста, весь образовательный процесс объединен игровой формой занятий. </w:t>
      </w:r>
    </w:p>
    <w:p w14:paraId="63000000">
      <w:pPr>
        <w:ind/>
        <w:jc w:val="both"/>
      </w:pPr>
    </w:p>
    <w:p w14:paraId="64000000">
      <w:pPr>
        <w:ind/>
        <w:jc w:val="both"/>
      </w:pPr>
      <w:r>
        <w:t xml:space="preserve"> </w:t>
      </w:r>
    </w:p>
    <w:p w14:paraId="65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    </w:t>
      </w:r>
      <w:r>
        <w:rPr>
          <w:b w:val="1"/>
        </w:rPr>
        <w:t>О</w:t>
      </w:r>
      <w:r>
        <w:rPr>
          <w:b w:val="1"/>
        </w:rPr>
        <w:t>рганизация и проведение занятий</w:t>
      </w:r>
    </w:p>
    <w:p w14:paraId="66000000">
      <w:pPr>
        <w:ind/>
        <w:jc w:val="both"/>
      </w:pPr>
    </w:p>
    <w:p w14:paraId="67000000">
      <w:pPr>
        <w:ind/>
        <w:jc w:val="both"/>
      </w:pPr>
      <w:r>
        <w:t xml:space="preserve">        Предшкольная подготовка организуется</w:t>
      </w:r>
      <w:r>
        <w:t xml:space="preserve"> с октября по май </w:t>
      </w:r>
      <w:r>
        <w:t xml:space="preserve">. Занятия проводятся </w:t>
      </w:r>
      <w:r>
        <w:t>2</w:t>
      </w:r>
      <w:r>
        <w:t xml:space="preserve"> раз</w:t>
      </w:r>
      <w:r>
        <w:t>а</w:t>
      </w:r>
      <w:r>
        <w:t xml:space="preserve"> в неделю. Каждое занятие по </w:t>
      </w:r>
      <w:r>
        <w:t>25</w:t>
      </w:r>
      <w:r>
        <w:t xml:space="preserve"> минут. Перерыв между занятиями 10 минут. В день проводится по </w:t>
      </w:r>
      <w:r>
        <w:t>2</w:t>
      </w:r>
      <w:r>
        <w:t xml:space="preserve"> занятия. На занятиях чередуются виды деятельн</w:t>
      </w:r>
      <w:r>
        <w:t>ости, соблюдаются нормы САНПиН</w:t>
      </w:r>
      <w:r>
        <w:t xml:space="preserve"> к образовательному процессу в дошкольном возрасте. </w:t>
      </w:r>
    </w:p>
    <w:p w14:paraId="68000000">
      <w:pPr>
        <w:ind/>
        <w:jc w:val="both"/>
      </w:pPr>
    </w:p>
    <w:p w14:paraId="69000000"/>
    <w:p w14:paraId="6A000000">
      <w:pPr>
        <w:rPr>
          <w:b w:val="1"/>
          <w:sz w:val="28"/>
        </w:rPr>
      </w:pPr>
    </w:p>
    <w:p w14:paraId="6B000000">
      <w:pPr>
        <w:rPr>
          <w:b w:val="1"/>
          <w:sz w:val="28"/>
        </w:rPr>
      </w:pPr>
      <w:r>
        <w:rPr>
          <w:b w:val="1"/>
          <w:sz w:val="28"/>
        </w:rPr>
        <w:t xml:space="preserve">                     </w:t>
      </w:r>
      <w:r>
        <w:rPr>
          <w:b w:val="1"/>
          <w:sz w:val="28"/>
        </w:rPr>
        <w:t>П</w:t>
      </w:r>
      <w:r>
        <w:rPr>
          <w:b w:val="1"/>
          <w:sz w:val="28"/>
        </w:rPr>
        <w:t>рограмма  «Математические ступеньки»</w:t>
      </w:r>
    </w:p>
    <w:p w14:paraId="6C000000">
      <w:r>
        <w:t xml:space="preserve">         </w:t>
      </w:r>
      <w:r>
        <w:t xml:space="preserve">                     </w:t>
      </w:r>
      <w:r>
        <w:t>(под</w:t>
      </w:r>
      <w:r>
        <w:t xml:space="preserve">готовительный курс математики) </w:t>
      </w:r>
    </w:p>
    <w:p w14:paraId="6D000000"/>
    <w:p w14:paraId="6E000000">
      <w:pPr>
        <w:rPr>
          <w:b w:val="1"/>
        </w:rPr>
      </w:pPr>
      <w:r>
        <w:rPr>
          <w:b w:val="1"/>
        </w:rPr>
        <w:t xml:space="preserve">                                                 </w:t>
      </w:r>
      <w:r>
        <w:rPr>
          <w:b w:val="1"/>
        </w:rPr>
        <w:t>Пояснительная записка</w:t>
      </w:r>
    </w:p>
    <w:p w14:paraId="6F000000">
      <w:pPr>
        <w:rPr>
          <w:b w:val="1"/>
        </w:rPr>
      </w:pPr>
    </w:p>
    <w:p w14:paraId="70000000">
      <w:pPr>
        <w:ind/>
        <w:jc w:val="both"/>
      </w:pPr>
      <w:r>
        <w:t xml:space="preserve">         Основная задача курса «Математические ступеньки» - помочь в развитии у детей 5-6-летнего возраста умений и способностей, связанных с формированием у них количественных, временных, пространственных представлений. </w:t>
      </w:r>
    </w:p>
    <w:p w14:paraId="71000000">
      <w:pPr>
        <w:ind/>
        <w:jc w:val="both"/>
      </w:pPr>
      <w:r>
        <w:t xml:space="preserve">         Обучение детей 5-6 лет реализует деятельностный подход. Содержание программы не изолированно, а взаимосвязано с содержанием и видами деятельности других курсов программы предшкольной подготовки.</w:t>
      </w:r>
    </w:p>
    <w:p w14:paraId="72000000">
      <w:pPr>
        <w:ind/>
        <w:jc w:val="both"/>
      </w:pPr>
      <w:r>
        <w:t xml:space="preserve">         </w:t>
      </w:r>
      <w:r>
        <w:t xml:space="preserve">Программа предполагает расширение представлений детей о свойствах объектов. Обучение начинается со сравнения единичных предметов по различным основаниям: форме, цвету, размеру, пространственному расположению. Это поможет в развитии сенсорных эталонов, являющихся основой для обучения математике в 1 классе. При работе с группами предметов </w:t>
      </w:r>
      <w:r>
        <w:t>дети</w:t>
      </w:r>
      <w:r>
        <w:t xml:space="preserve"> уч</w:t>
      </w:r>
      <w:r>
        <w:t>атся</w:t>
      </w:r>
      <w:r>
        <w:t xml:space="preserve"> выделять группы предметов по определенному свойству, находить общие и отличительные признаки групп предметов. Первые шаги в этой деятельности опираются на практические действия без использования счета и постепенно приводят детей к способу пересчитывания. Программа поможет сделать первые шаги в познании мира чисел. Через число ребенок войдет в мир геометрических фигур, мир пространственных и временных представлений, мир количественных соотношений.</w:t>
      </w:r>
    </w:p>
    <w:p w14:paraId="73000000">
      <w:pPr>
        <w:ind/>
        <w:jc w:val="both"/>
      </w:pPr>
    </w:p>
    <w:p w14:paraId="74000000">
      <w:pPr>
        <w:ind/>
        <w:jc w:val="both"/>
      </w:pPr>
    </w:p>
    <w:p w14:paraId="75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               </w:t>
      </w:r>
      <w:r>
        <w:rPr>
          <w:b w:val="1"/>
        </w:rPr>
        <w:t>Содержание программы.</w:t>
      </w:r>
    </w:p>
    <w:p w14:paraId="76000000">
      <w:pPr>
        <w:ind/>
        <w:jc w:val="both"/>
        <w:rPr>
          <w:i w:val="1"/>
        </w:rPr>
      </w:pPr>
      <w:r>
        <w:t xml:space="preserve">                            </w:t>
      </w:r>
      <w:r>
        <w:rPr>
          <w:i w:val="1"/>
        </w:rPr>
        <w:t>Пространственные и временные отношения.</w:t>
      </w:r>
    </w:p>
    <w:p w14:paraId="77000000">
      <w:pPr>
        <w:ind/>
        <w:jc w:val="both"/>
      </w:pPr>
    </w:p>
    <w:p w14:paraId="78000000">
      <w:pPr>
        <w:ind/>
        <w:jc w:val="both"/>
      </w:pPr>
      <w:r>
        <w:t xml:space="preserve">       </w:t>
      </w:r>
      <w:r>
        <w:t>Ориентирование в пространстве. Установление местоположения в пространстве с помощью отношений: выше-ниже, дальше-ближе, слева-справа, сверху-снизу, спереди-сзади, перед, после, между и их комбинаций. Взаимное расположение предметов в пространстве и на плоскости. Направления движения: слева направо, справа налево, сверху вниз, снизу вверх. Отличие в ориентировке относительно себя и относительно другого объекта. Ориентировка на клетчатой бумаге. Прохождение лабиринтов.</w:t>
      </w:r>
    </w:p>
    <w:p w14:paraId="79000000">
      <w:pPr>
        <w:ind/>
        <w:jc w:val="both"/>
      </w:pPr>
      <w:r>
        <w:t xml:space="preserve">        </w:t>
      </w:r>
      <w:r>
        <w:t>Ориентирование во времени. Определение времени суток и их следование друг за другом. Дни недели и их следование друг за другом. Сезоны (времена) года и их следование друг за другом. Месяцы года, их следование друг за другом и принадлежность временам года. Осознание идеи цикличности при смене частей суток, дней недели, времен года, месяцев года. Умение правильно применять т</w:t>
      </w:r>
      <w:r>
        <w:t>ермины: вчера, сегодня, завтра.</w:t>
      </w:r>
    </w:p>
    <w:p w14:paraId="7A000000">
      <w:pPr>
        <w:ind/>
        <w:jc w:val="both"/>
      </w:pPr>
      <w:r>
        <w:t xml:space="preserve"> </w:t>
      </w:r>
    </w:p>
    <w:p w14:paraId="7B000000">
      <w:pPr>
        <w:ind/>
        <w:jc w:val="both"/>
      </w:pPr>
      <w:r>
        <w:rPr>
          <w:i w:val="1"/>
        </w:rPr>
        <w:t xml:space="preserve">                                                         </w:t>
      </w:r>
      <w:r>
        <w:rPr>
          <w:i w:val="1"/>
        </w:rPr>
        <w:t>Числа и величины.</w:t>
      </w:r>
    </w:p>
    <w:p w14:paraId="7C000000">
      <w:pPr>
        <w:ind/>
        <w:jc w:val="both"/>
      </w:pPr>
    </w:p>
    <w:p w14:paraId="7D000000">
      <w:pPr>
        <w:ind/>
        <w:jc w:val="both"/>
      </w:pPr>
      <w:r>
        <w:t xml:space="preserve">       </w:t>
      </w:r>
      <w:r>
        <w:t>Числа и действия над ними. Сравнение групп предметов по их численности с помощью отношений «много – мало» и «один – несколько». Осознание относительности понятий «много» и «мало». Установление отношений «больше», «меньше», «равно» на основе взаимно однозначного соответствия. Число как характеристика равночисленных групп предметов различной природы. Числа от 1 до 10, их названия. Знакомство</w:t>
      </w:r>
      <w:r>
        <w:t xml:space="preserve"> с цифрами 1, 2, 3, 4, 5, их печатное написание. Соседи числа. Количественный и порядковый счет в пределах изученных чисел. Сравнение изученных чисел между собой, их расположение в порядке возрастания и порядке убывания. Состав чисел от 1 – 5. Число 0, его математический смысл, название и обозначение на письме. Определение места</w:t>
      </w:r>
      <w:r>
        <w:t xml:space="preserve"> числа 0 среди изученных чисел.</w:t>
      </w:r>
    </w:p>
    <w:p w14:paraId="7E000000">
      <w:pPr>
        <w:ind/>
        <w:jc w:val="both"/>
      </w:pPr>
    </w:p>
    <w:p w14:paraId="7F000000">
      <w:pPr>
        <w:ind/>
        <w:jc w:val="both"/>
      </w:pPr>
      <w:r>
        <w:t xml:space="preserve">         </w:t>
      </w:r>
      <w:r>
        <w:t xml:space="preserve">Величины и их измерение. Различные отношения, связанные с величиной «длина» (длиннее – короче, выше – ниже, шире – уже, дальше – ближе). Различные способы сравнения предметов по длине («на глаз», «наложением», «приложением»). </w:t>
      </w:r>
    </w:p>
    <w:p w14:paraId="80000000">
      <w:pPr>
        <w:ind/>
        <w:jc w:val="both"/>
      </w:pPr>
      <w:r>
        <w:t xml:space="preserve">         </w:t>
      </w:r>
      <w:r>
        <w:t>Сравнение предметов по массе и установление отношения «</w:t>
      </w:r>
      <w:r>
        <w:t xml:space="preserve">тяжелее – легче» («на руках»). </w:t>
      </w:r>
    </w:p>
    <w:p w14:paraId="81000000">
      <w:pPr>
        <w:ind/>
        <w:jc w:val="both"/>
      </w:pPr>
      <w:r>
        <w:t xml:space="preserve">         </w:t>
      </w:r>
      <w:r>
        <w:t>Задачи. Составлять математический рассказ по картинке. Ре</w:t>
      </w:r>
      <w:r>
        <w:t>шать простые логические задачи.</w:t>
      </w:r>
    </w:p>
    <w:p w14:paraId="82000000">
      <w:pPr>
        <w:ind/>
        <w:jc w:val="both"/>
      </w:pPr>
      <w:r>
        <w:t xml:space="preserve">         </w:t>
      </w:r>
      <w:r>
        <w:t>Геометрические фигуры и их свойства.</w:t>
      </w:r>
    </w:p>
    <w:p w14:paraId="83000000">
      <w:pPr>
        <w:ind/>
        <w:jc w:val="both"/>
      </w:pPr>
      <w:r>
        <w:t xml:space="preserve">        </w:t>
      </w:r>
      <w:r>
        <w:t xml:space="preserve"> </w:t>
      </w:r>
      <w:r>
        <w:t>Пространственные фигуры. Сравнение окружающих предметов. Выделение групп предметов,</w:t>
      </w:r>
      <w:r>
        <w:t xml:space="preserve"> сходных по форме (шар и куб).</w:t>
      </w:r>
    </w:p>
    <w:p w14:paraId="84000000">
      <w:pPr>
        <w:ind/>
        <w:jc w:val="both"/>
      </w:pPr>
      <w:r>
        <w:t xml:space="preserve">        </w:t>
      </w:r>
      <w:r>
        <w:t xml:space="preserve"> </w:t>
      </w:r>
      <w:r>
        <w:t>Плоские фигуры. Круг, тре</w:t>
      </w:r>
      <w:r>
        <w:t xml:space="preserve">угольник, прямоугольник, овал. </w:t>
      </w:r>
    </w:p>
    <w:p w14:paraId="85000000">
      <w:pPr>
        <w:ind/>
        <w:jc w:val="both"/>
      </w:pPr>
    </w:p>
    <w:p w14:paraId="86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  </w:t>
      </w:r>
      <w:r>
        <w:rPr>
          <w:b w:val="1"/>
        </w:rPr>
        <w:t>Требован</w:t>
      </w:r>
      <w:r>
        <w:rPr>
          <w:b w:val="1"/>
        </w:rPr>
        <w:t>ия к знаниям умениям и навыкам.</w:t>
      </w:r>
    </w:p>
    <w:p w14:paraId="87000000">
      <w:pPr>
        <w:ind/>
        <w:jc w:val="both"/>
      </w:pPr>
    </w:p>
    <w:p w14:paraId="88000000">
      <w:pPr>
        <w:ind/>
        <w:jc w:val="both"/>
      </w:pPr>
      <w:r>
        <w:t>1.Количество</w:t>
      </w:r>
      <w:r>
        <w:t xml:space="preserve"> и счет:</w:t>
      </w:r>
    </w:p>
    <w:p w14:paraId="89000000">
      <w:pPr>
        <w:ind/>
        <w:jc w:val="both"/>
      </w:pPr>
    </w:p>
    <w:p w14:paraId="8A000000">
      <w:pPr>
        <w:ind/>
        <w:jc w:val="both"/>
      </w:pPr>
      <w:r>
        <w:t xml:space="preserve">    </w:t>
      </w:r>
      <w:r>
        <w:t>-з</w:t>
      </w:r>
      <w:r>
        <w:t>накомство с числами и цифрами в пределах 10, овладение навыками прямого и обра</w:t>
      </w:r>
      <w:r>
        <w:t>тного счета (начиная с любого);</w:t>
      </w:r>
    </w:p>
    <w:p w14:paraId="8B000000">
      <w:pPr>
        <w:ind/>
        <w:jc w:val="both"/>
      </w:pPr>
      <w:r>
        <w:t xml:space="preserve">  </w:t>
      </w:r>
      <w:r>
        <w:t xml:space="preserve"> -о</w:t>
      </w:r>
      <w:r>
        <w:t>владение навыками нахождения соседей числа, предше</w:t>
      </w:r>
      <w:r>
        <w:t>ствующего и последующего числа;</w:t>
      </w:r>
    </w:p>
    <w:p w14:paraId="8C000000">
      <w:pPr>
        <w:ind/>
        <w:jc w:val="both"/>
      </w:pPr>
      <w:r>
        <w:t xml:space="preserve">  -у</w:t>
      </w:r>
      <w:r>
        <w:t>чить отсчитывать и при</w:t>
      </w:r>
      <w:r>
        <w:t>считывать;</w:t>
      </w:r>
    </w:p>
    <w:p w14:paraId="8D000000">
      <w:pPr>
        <w:ind/>
        <w:jc w:val="both"/>
      </w:pPr>
      <w:r>
        <w:t xml:space="preserve">  </w:t>
      </w:r>
      <w:r>
        <w:t>-п</w:t>
      </w:r>
      <w:r>
        <w:t>онимать термин «столько же», отношение между числами натур</w:t>
      </w:r>
      <w:r>
        <w:t>ального ряда чисел (больше на);</w:t>
      </w:r>
    </w:p>
    <w:p w14:paraId="8E000000">
      <w:pPr>
        <w:ind/>
        <w:jc w:val="both"/>
      </w:pPr>
      <w:r>
        <w:t xml:space="preserve">  -о</w:t>
      </w:r>
      <w:r>
        <w:t>владеть навыками п</w:t>
      </w:r>
      <w:r>
        <w:t>орядкового счета в пределах 10;</w:t>
      </w:r>
      <w:r>
        <w:br/>
      </w:r>
      <w:r>
        <w:t xml:space="preserve">  -</w:t>
      </w:r>
      <w:r>
        <w:t xml:space="preserve"> </w:t>
      </w:r>
      <w:r>
        <w:t>о</w:t>
      </w:r>
      <w:r>
        <w:t xml:space="preserve">тработать состав чисел до </w:t>
      </w:r>
      <w:r>
        <w:t>10</w:t>
      </w:r>
      <w:r>
        <w:t>.</w:t>
      </w:r>
    </w:p>
    <w:p w14:paraId="8F000000">
      <w:pPr>
        <w:ind/>
        <w:jc w:val="both"/>
      </w:pPr>
    </w:p>
    <w:p w14:paraId="90000000">
      <w:pPr>
        <w:ind/>
        <w:jc w:val="both"/>
      </w:pPr>
      <w:r>
        <w:t>2.Величина:</w:t>
      </w:r>
    </w:p>
    <w:p w14:paraId="91000000">
      <w:pPr>
        <w:ind/>
        <w:jc w:val="both"/>
      </w:pPr>
    </w:p>
    <w:p w14:paraId="92000000">
      <w:pPr>
        <w:ind/>
        <w:jc w:val="both"/>
      </w:pPr>
      <w:r>
        <w:t xml:space="preserve"> -у</w:t>
      </w:r>
      <w:r>
        <w:t>чить раскладывать предметы по убыванию или возраст</w:t>
      </w:r>
      <w:r>
        <w:t>анию по длине, ширине, толщине;</w:t>
      </w:r>
    </w:p>
    <w:p w14:paraId="93000000">
      <w:pPr>
        <w:ind/>
        <w:jc w:val="both"/>
      </w:pPr>
      <w:r>
        <w:t xml:space="preserve"> -с</w:t>
      </w:r>
      <w:r>
        <w:t xml:space="preserve">равнивать предметы по размеру (шире – уже, длиннее – короче, выше – ниже), </w:t>
      </w:r>
      <w:r>
        <w:t xml:space="preserve">по возрасту (старше – моложе); </w:t>
      </w:r>
    </w:p>
    <w:p w14:paraId="94000000">
      <w:pPr>
        <w:ind/>
        <w:jc w:val="both"/>
      </w:pPr>
    </w:p>
    <w:p w14:paraId="95000000">
      <w:pPr>
        <w:ind/>
        <w:jc w:val="both"/>
      </w:pPr>
      <w:r>
        <w:t>3.Геометрические фигуры:</w:t>
      </w:r>
    </w:p>
    <w:p w14:paraId="96000000">
      <w:pPr>
        <w:ind/>
        <w:jc w:val="both"/>
      </w:pPr>
      <w:r>
        <w:t xml:space="preserve"> -у</w:t>
      </w:r>
      <w:r>
        <w:t>знавать и называть плоские геометрические фигуры (квадрат, круг, тре</w:t>
      </w:r>
      <w:r>
        <w:t>угольник, прямоугольник, овал);</w:t>
      </w:r>
    </w:p>
    <w:p w14:paraId="97000000">
      <w:pPr>
        <w:ind/>
        <w:jc w:val="both"/>
      </w:pPr>
      <w:r>
        <w:t xml:space="preserve"> -у</w:t>
      </w:r>
      <w:r>
        <w:t>чить выделять общие суще</w:t>
      </w:r>
      <w:r>
        <w:t>ственные признаки группы фигур.</w:t>
      </w:r>
    </w:p>
    <w:p w14:paraId="98000000">
      <w:pPr>
        <w:ind/>
        <w:jc w:val="both"/>
      </w:pPr>
    </w:p>
    <w:p w14:paraId="99000000">
      <w:pPr>
        <w:ind/>
        <w:jc w:val="both"/>
      </w:pPr>
      <w:r>
        <w:t>4.Ориентировка в пространстве:</w:t>
      </w:r>
    </w:p>
    <w:p w14:paraId="9A000000">
      <w:pPr>
        <w:ind/>
        <w:jc w:val="both"/>
      </w:pPr>
      <w:r>
        <w:t xml:space="preserve"> -о</w:t>
      </w:r>
      <w:r>
        <w:t xml:space="preserve">риентировка в специальных ситуациях, определение своего места по заданному </w:t>
      </w:r>
      <w:r>
        <w:t>условию;</w:t>
      </w:r>
    </w:p>
    <w:p w14:paraId="9B000000">
      <w:pPr>
        <w:ind/>
        <w:jc w:val="both"/>
      </w:pPr>
      <w:r>
        <w:t xml:space="preserve"> - о</w:t>
      </w:r>
      <w:r>
        <w:t>пределение (словесно) положения предмета относительно другого с</w:t>
      </w:r>
      <w:r>
        <w:t xml:space="preserve"> использованием двух признаков;</w:t>
      </w:r>
    </w:p>
    <w:p w14:paraId="9C000000">
      <w:pPr>
        <w:ind/>
        <w:jc w:val="both"/>
      </w:pPr>
      <w:r>
        <w:t xml:space="preserve"> - о</w:t>
      </w:r>
      <w:r>
        <w:t>пределение р</w:t>
      </w:r>
      <w:r>
        <w:t>асположения предметов на листе;</w:t>
      </w:r>
    </w:p>
    <w:p w14:paraId="9D000000">
      <w:pPr>
        <w:ind/>
        <w:jc w:val="both"/>
      </w:pPr>
      <w:r>
        <w:t xml:space="preserve"> </w:t>
      </w:r>
      <w:r>
        <w:t>- с</w:t>
      </w:r>
      <w:r>
        <w:t>рисовывание фигур по клеточкам;</w:t>
      </w:r>
    </w:p>
    <w:p w14:paraId="9E000000">
      <w:pPr>
        <w:ind/>
        <w:jc w:val="both"/>
      </w:pPr>
      <w:r>
        <w:t xml:space="preserve"> - о</w:t>
      </w:r>
      <w:r>
        <w:t>бучение написанию графических диктантов.</w:t>
      </w:r>
    </w:p>
    <w:p w14:paraId="9F000000">
      <w:pPr>
        <w:ind/>
        <w:jc w:val="both"/>
      </w:pPr>
    </w:p>
    <w:p w14:paraId="A0000000">
      <w:pPr>
        <w:ind/>
        <w:jc w:val="both"/>
      </w:pPr>
      <w:r>
        <w:t>5.Работа с задачей:</w:t>
      </w:r>
    </w:p>
    <w:p w14:paraId="A1000000">
      <w:pPr>
        <w:ind/>
        <w:jc w:val="both"/>
      </w:pPr>
      <w:r>
        <w:t xml:space="preserve"> - о</w:t>
      </w:r>
      <w:r>
        <w:t>бучить навыкам состав</w:t>
      </w:r>
      <w:r>
        <w:t>ления математического рассказа;</w:t>
      </w:r>
    </w:p>
    <w:p w14:paraId="A2000000">
      <w:pPr>
        <w:ind/>
        <w:jc w:val="both"/>
      </w:pPr>
      <w:r>
        <w:t xml:space="preserve"> - р</w:t>
      </w:r>
      <w:r>
        <w:t>ешать логические задачи на сравнение, обобщение, классификацию.</w:t>
      </w:r>
    </w:p>
    <w:p w14:paraId="A3000000">
      <w:pPr>
        <w:ind/>
        <w:jc w:val="both"/>
      </w:pPr>
    </w:p>
    <w:p w14:paraId="A4000000">
      <w:pPr>
        <w:ind/>
        <w:jc w:val="both"/>
      </w:pPr>
      <w:r>
        <w:t xml:space="preserve"> </w:t>
      </w:r>
    </w:p>
    <w:p w14:paraId="A5000000">
      <w:pPr>
        <w:ind/>
        <w:jc w:val="both"/>
      </w:pPr>
      <w:r>
        <w:t xml:space="preserve"> </w:t>
      </w:r>
    </w:p>
    <w:p w14:paraId="A6000000">
      <w:pPr>
        <w:ind/>
        <w:jc w:val="both"/>
      </w:pPr>
    </w:p>
    <w:p w14:paraId="A7000000">
      <w:pPr>
        <w:ind/>
        <w:jc w:val="both"/>
        <w:rPr>
          <w:b w:val="1"/>
          <w:sz w:val="28"/>
        </w:rPr>
      </w:pPr>
      <w:r>
        <w:rPr>
          <w:b w:val="1"/>
          <w:sz w:val="28"/>
        </w:rPr>
        <w:t xml:space="preserve">                             </w:t>
      </w:r>
      <w:r>
        <w:rPr>
          <w:b w:val="1"/>
          <w:sz w:val="28"/>
        </w:rPr>
        <w:t>Программа «От слова к букве»</w:t>
      </w:r>
    </w:p>
    <w:p w14:paraId="A8000000">
      <w:pPr>
        <w:ind/>
        <w:jc w:val="both"/>
      </w:pPr>
      <w:r>
        <w:t xml:space="preserve">                              </w:t>
      </w:r>
      <w:r>
        <w:t>(развитие фо</w:t>
      </w:r>
      <w:r>
        <w:t>нематического восприятия, речи)</w:t>
      </w:r>
    </w:p>
    <w:p w14:paraId="A9000000">
      <w:pPr>
        <w:ind/>
        <w:jc w:val="both"/>
        <w:rPr>
          <w:b w:val="1"/>
        </w:rPr>
      </w:pPr>
    </w:p>
    <w:p w14:paraId="AA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                 </w:t>
      </w:r>
      <w:r>
        <w:rPr>
          <w:b w:val="1"/>
        </w:rPr>
        <w:t>Пояснительная записка</w:t>
      </w:r>
    </w:p>
    <w:p w14:paraId="AB000000">
      <w:pPr>
        <w:ind/>
        <w:jc w:val="both"/>
      </w:pPr>
    </w:p>
    <w:p w14:paraId="AC000000">
      <w:pPr>
        <w:ind/>
        <w:jc w:val="both"/>
      </w:pPr>
      <w:r>
        <w:t xml:space="preserve">       </w:t>
      </w:r>
      <w:r>
        <w:t xml:space="preserve">Для успешного обучения чтению и письму в 1 классе в предшкольный период необходимо развивать речь, учить слышать правильно, произносить и различать звуки, тренировать мелкую моторику, воспитывать аккуратность в работе. Так же необходимо развивать умение слушать, слышать, запоминать, понимать смысл сказанного и прочитанного, уметь выражать свои мысли, грамотно строить своё высказывание. Уметь ориентироваться на листе и планировать свою работу. К тому же систематические упражнения со звуками играет роль речевой гимнастики, способствующей выработке координированных движений органов речи: развитию речевого дыхания, голоса и дикции. </w:t>
      </w:r>
    </w:p>
    <w:p w14:paraId="AD000000">
      <w:pPr>
        <w:ind/>
        <w:jc w:val="both"/>
      </w:pPr>
      <w:r>
        <w:t xml:space="preserve">      </w:t>
      </w:r>
      <w:r>
        <w:t xml:space="preserve"> Каждое занятие построено таким образом, чтобы ребёнок одновременно учился и играл, так как игровые моменты в дошкольном возрасте поддерживают работоспособность детей.</w:t>
      </w:r>
    </w:p>
    <w:p w14:paraId="AE000000">
      <w:pPr>
        <w:ind/>
        <w:jc w:val="both"/>
      </w:pPr>
      <w:r>
        <w:t xml:space="preserve">      </w:t>
      </w:r>
      <w:r>
        <w:t>Все занятия направлены на развитие фонематического восприятия, что является основой для успешного обучения чтению и письму. Развитие фонематического восприятия поможет предупредить дисграфия и дис</w:t>
      </w:r>
      <w:r>
        <w:t>ф</w:t>
      </w:r>
      <w:r>
        <w:t>лексия. Это очень важно на этапе подготовке к школе, так как в последние годы речевые ошибки всё чаще наблюдаются у младших школьников. Содержание занятий ориентированно на психическую защищённость ребёнка, его комфорт и потребность в эмоциональном общении друг с другом и педагогом. Основное отличие этой системы состоит на том, что все занятие курса подчинены одной теме или сюжету, все задания и упражнения взаимосвязаны и дополняют друг друга. Межпредметная связь сюжетно-тематической организации занятий способствуют спонтанному развитию лексико-грамматического строя и связной речи, поддержанию положительного эмоционального состояния детей, интереса и внимания, а значит, лучшей результативности в усвоении знаний. Положительным моментом является и то, что задания направлены на включение в работу всех анализаторных систем. Неоднократность использования наглядного материала по всем лексическим темам способствует переходу образов представлений в образы-понятия, что важно дл</w:t>
      </w:r>
      <w:r>
        <w:t xml:space="preserve">я последующих этапов обучения. </w:t>
      </w:r>
    </w:p>
    <w:p w14:paraId="AF000000">
      <w:pPr>
        <w:ind/>
        <w:jc w:val="both"/>
      </w:pPr>
      <w:r>
        <w:t xml:space="preserve">       </w:t>
      </w:r>
      <w:r>
        <w:t>Учитывая специфику детей старшего дошкольного возраста, предлагаемый материал легче усваивается в рамках сюжета сказки, путешествия, приключения, игры. Дети играя, постигают понятия «звук», «слог», «слово», «предложение». Не навязчиво происходит закрепление правильного произношения и употребления звуков в речи, идёт развитие лексико-грамматичского строя и связной речи во время участия ребёнка в сочинени</w:t>
      </w:r>
      <w:r>
        <w:t>и сказок, стихов, чистоговорок.</w:t>
      </w:r>
    </w:p>
    <w:p w14:paraId="B0000000">
      <w:pPr>
        <w:ind/>
        <w:jc w:val="both"/>
      </w:pPr>
      <w:r>
        <w:t xml:space="preserve">       </w:t>
      </w:r>
      <w:r>
        <w:t>Занятия , проводимые и организуемые по единой теме или сюжету, спос</w:t>
      </w:r>
      <w:r>
        <w:t>обствуют:</w:t>
      </w:r>
    </w:p>
    <w:p w14:paraId="B1000000">
      <w:pPr>
        <w:ind/>
        <w:jc w:val="both"/>
      </w:pPr>
      <w:r>
        <w:t xml:space="preserve">- </w:t>
      </w:r>
      <w:r>
        <w:t>развитию всех компонентов речи;</w:t>
      </w:r>
    </w:p>
    <w:p w14:paraId="B2000000">
      <w:pPr>
        <w:ind/>
        <w:jc w:val="both"/>
      </w:pPr>
      <w:r>
        <w:t>- формированию навыка зву</w:t>
      </w:r>
      <w:r>
        <w:t>ко-слогового анализа и синтеза;</w:t>
      </w:r>
    </w:p>
    <w:p w14:paraId="B3000000">
      <w:pPr>
        <w:ind/>
        <w:jc w:val="both"/>
      </w:pPr>
      <w:r>
        <w:t>- раз</w:t>
      </w:r>
      <w:r>
        <w:t>витию познавательных процессов;</w:t>
      </w:r>
    </w:p>
    <w:p w14:paraId="B4000000">
      <w:pPr>
        <w:ind/>
        <w:jc w:val="both"/>
      </w:pPr>
      <w:r>
        <w:t>- воспитанию нравственно-эстетических чувств.</w:t>
      </w:r>
    </w:p>
    <w:p w14:paraId="B5000000">
      <w:pPr>
        <w:ind/>
        <w:jc w:val="both"/>
      </w:pPr>
    </w:p>
    <w:p w14:paraId="B6000000">
      <w:pPr>
        <w:ind/>
        <w:jc w:val="both"/>
      </w:pPr>
      <w:r>
        <w:t xml:space="preserve"> </w:t>
      </w:r>
    </w:p>
    <w:p w14:paraId="B7000000">
      <w:pPr>
        <w:ind/>
        <w:jc w:val="both"/>
      </w:pPr>
    </w:p>
    <w:p w14:paraId="B8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</w:t>
      </w:r>
      <w:r>
        <w:rPr>
          <w:b w:val="1"/>
        </w:rPr>
        <w:t>Содержание программы по разделам.</w:t>
      </w:r>
    </w:p>
    <w:p w14:paraId="B9000000">
      <w:pPr>
        <w:ind/>
        <w:jc w:val="both"/>
      </w:pPr>
    </w:p>
    <w:p w14:paraId="BA000000">
      <w:pPr>
        <w:ind/>
        <w:jc w:val="both"/>
      </w:pPr>
      <w:r>
        <w:t xml:space="preserve">        </w:t>
      </w:r>
      <w:r>
        <w:t xml:space="preserve">Занятия являются подготовительными к этапу школьного курса обучения </w:t>
      </w:r>
      <w:r>
        <w:t>грамоте. Педагог решает задачи:</w:t>
      </w:r>
    </w:p>
    <w:p w14:paraId="BB000000">
      <w:pPr>
        <w:ind/>
        <w:jc w:val="both"/>
      </w:pPr>
      <w:r>
        <w:t xml:space="preserve">- познакомить детей с понятиями «звук», </w:t>
      </w:r>
      <w:r>
        <w:t>«слог», «слово», «предложение»;</w:t>
      </w:r>
    </w:p>
    <w:p w14:paraId="BC000000">
      <w:pPr>
        <w:ind/>
        <w:jc w:val="both"/>
      </w:pPr>
      <w:r>
        <w:t>- ввести понятия, связанные со звуковым анализом слова, фонематическим моделированием и де</w:t>
      </w:r>
      <w:r>
        <w:t xml:space="preserve">лением на слоги; </w:t>
      </w:r>
    </w:p>
    <w:p w14:paraId="BD000000">
      <w:pPr>
        <w:ind/>
        <w:jc w:val="both"/>
      </w:pPr>
      <w:r>
        <w:t>- научить определять ударение в разных сло</w:t>
      </w:r>
      <w:r>
        <w:t>вах (двухсложных, трёхсложных);</w:t>
      </w:r>
    </w:p>
    <w:p w14:paraId="BE000000">
      <w:pPr>
        <w:ind/>
        <w:jc w:val="both"/>
      </w:pPr>
      <w:r>
        <w:t>- со</w:t>
      </w:r>
      <w:r>
        <w:t>ставлять новые слова из слогов;</w:t>
      </w:r>
    </w:p>
    <w:p w14:paraId="BF000000">
      <w:pPr>
        <w:ind/>
        <w:jc w:val="both"/>
      </w:pPr>
      <w:r>
        <w:t>- учить</w:t>
      </w:r>
      <w:r>
        <w:t xml:space="preserve"> выделять слова в предложениях;</w:t>
      </w:r>
    </w:p>
    <w:p w14:paraId="C0000000">
      <w:pPr>
        <w:ind/>
        <w:jc w:val="both"/>
      </w:pPr>
      <w:r>
        <w:t>- готовить руку ребёнка к освоению навыков письма (обведение по контуру, закрашивание и штриховка в разных направлениях).</w:t>
      </w:r>
    </w:p>
    <w:p w14:paraId="C1000000">
      <w:pPr>
        <w:ind/>
        <w:jc w:val="both"/>
      </w:pPr>
    </w:p>
    <w:p w14:paraId="C2000000">
      <w:pPr>
        <w:ind/>
        <w:jc w:val="both"/>
      </w:pPr>
      <w:r>
        <w:t xml:space="preserve">        </w:t>
      </w:r>
      <w:r>
        <w:t xml:space="preserve">Основная задача обучения грамоте – формирование у детей общей ориентировки в звуковой системе языка, обучение их звуковому анализу слова понимать и определять порядок следования звуков в слове устанавливать различительную роль звука, основных качественных характеристик звука. Обучение детей звуковому анализу слов начинается с определения последовательности звуков в нём. Формированию представления о звуковом составе помогает иллюстративный материал и модель-схема. Рисунок помогает ребёнку видеть предмет, название которого анализируется. Схема даёт возможность определить качество звуков в слове. Модель слова, которая получается в результате его звукового анализа, отражает отдельные звуки и их последовательность. Самое пристальное внимание необходимо сосредоточить на обучении детей последовательному интонационному выделению звуков в слове, что является основой будущего грамотного, без пропусков письма. При проведении звукового анализа необходимо следить за тем, чтобы дети после интонационного выделения звука в слове могли изолированно назвать его так, как он звучит в слове. Они знакомятся с гласными звуками, узнают, что при произношении этих звуков воздух не встречает преграды. Воздух при произношении гласных звуков легко «выходит» изо рта. </w:t>
      </w:r>
    </w:p>
    <w:p w14:paraId="C3000000">
      <w:pPr>
        <w:ind/>
        <w:jc w:val="both"/>
      </w:pPr>
      <w:r>
        <w:t xml:space="preserve">        </w:t>
      </w:r>
      <w:r>
        <w:t xml:space="preserve"> </w:t>
      </w:r>
      <w:r>
        <w:t>На следующих занятиях дети узнают о согласных звуках, произношению которых всегда что-то «мешает» - губы, зубы, язык и воздух не всегда выходит через рот. Сравнение звуков по их произношению, проводимое в занимательной форме игры, помогает детям быстро уловить разницу между гласными и согласными звуками.Проводя звуковой анализ слов, нужно следить за правильным употреблением терминов «гласный», «твёрдый согласный», «мягкий согласный» звуки.</w:t>
      </w:r>
    </w:p>
    <w:p w14:paraId="C4000000">
      <w:pPr>
        <w:ind/>
        <w:jc w:val="both"/>
      </w:pPr>
    </w:p>
    <w:p w14:paraId="C5000000">
      <w:pPr>
        <w:ind/>
        <w:jc w:val="both"/>
      </w:pPr>
    </w:p>
    <w:p w14:paraId="C6000000">
      <w:pPr>
        <w:ind/>
        <w:jc w:val="both"/>
        <w:rPr>
          <w:b w:val="1"/>
        </w:rPr>
      </w:pPr>
      <w:r>
        <w:rPr>
          <w:b w:val="1"/>
        </w:rPr>
        <w:t xml:space="preserve">                                       </w:t>
      </w:r>
      <w:r>
        <w:rPr>
          <w:b w:val="1"/>
        </w:rPr>
        <w:t>Требования к знаниям и умени</w:t>
      </w:r>
      <w:r>
        <w:rPr>
          <w:b w:val="1"/>
        </w:rPr>
        <w:t>ям.</w:t>
      </w:r>
    </w:p>
    <w:p w14:paraId="C7000000">
      <w:pPr>
        <w:ind/>
        <w:jc w:val="both"/>
        <w:rPr>
          <w:b w:val="1"/>
        </w:rPr>
      </w:pPr>
    </w:p>
    <w:p w14:paraId="C8000000">
      <w:pPr>
        <w:ind/>
        <w:jc w:val="both"/>
      </w:pPr>
      <w:r>
        <w:t xml:space="preserve">    - </w:t>
      </w:r>
      <w:r>
        <w:t>Подготовит</w:t>
      </w:r>
      <w:r>
        <w:t>ь к механизму слогового чтения;</w:t>
      </w:r>
    </w:p>
    <w:p w14:paraId="C9000000">
      <w:pPr>
        <w:ind/>
        <w:jc w:val="both"/>
      </w:pPr>
      <w:r>
        <w:t xml:space="preserve">    -</w:t>
      </w:r>
      <w:r>
        <w:t xml:space="preserve"> Изучить раздел «Фонетики» в следующем объеме: звук – гласные и согласные звуки – со</w:t>
      </w:r>
      <w:r>
        <w:t>гласные звуки мягкие и твердые;</w:t>
      </w:r>
    </w:p>
    <w:p w14:paraId="CA000000">
      <w:pPr>
        <w:ind/>
        <w:jc w:val="both"/>
      </w:pPr>
      <w:r>
        <w:t xml:space="preserve">    -</w:t>
      </w:r>
      <w:r>
        <w:t>Научить составлять звуковые схемы слов, уметь ставить ударение в словах, определять количеств</w:t>
      </w:r>
      <w:r>
        <w:t>о слогов по количеству гласных;</w:t>
      </w:r>
    </w:p>
    <w:p w14:paraId="CB000000">
      <w:pPr>
        <w:ind/>
        <w:jc w:val="both"/>
      </w:pPr>
      <w:r>
        <w:t xml:space="preserve">   -</w:t>
      </w:r>
      <w:r>
        <w:t xml:space="preserve"> Готовить к обучению письму: освоить правила штриховки, обводки по контору и тра</w:t>
      </w:r>
      <w:r>
        <w:t>фарету, срисовывание с образца;</w:t>
      </w:r>
    </w:p>
    <w:p w14:paraId="CC000000">
      <w:pPr>
        <w:ind/>
        <w:jc w:val="both"/>
      </w:pPr>
      <w:r>
        <w:t xml:space="preserve">   - </w:t>
      </w:r>
      <w:r>
        <w:t>Начать наблюдение над существенными признаками основных значимых частей речи – слово-предмет, слово-признак, слово-действие;</w:t>
      </w:r>
    </w:p>
    <w:p w14:paraId="CD000000">
      <w:pPr>
        <w:ind/>
        <w:jc w:val="both"/>
      </w:pPr>
      <w:r>
        <w:t xml:space="preserve">    -</w:t>
      </w:r>
      <w:r>
        <w:t>Дать понятие числа имен существительных (один предмет - много предметов)   (практическое овладение);</w:t>
      </w:r>
    </w:p>
    <w:p w14:paraId="CE000000">
      <w:pPr>
        <w:ind/>
        <w:jc w:val="both"/>
      </w:pPr>
      <w:r>
        <w:t xml:space="preserve">    -</w:t>
      </w:r>
      <w:r>
        <w:t xml:space="preserve"> Узн</w:t>
      </w:r>
      <w:r>
        <w:t>авать род имен существительных;</w:t>
      </w:r>
    </w:p>
    <w:p w14:paraId="CF000000">
      <w:pPr>
        <w:ind/>
        <w:jc w:val="both"/>
      </w:pPr>
      <w:r>
        <w:t xml:space="preserve">  </w:t>
      </w:r>
      <w:r>
        <w:t xml:space="preserve"> -</w:t>
      </w:r>
      <w:r>
        <w:t xml:space="preserve"> Развести понятия одушевленные </w:t>
      </w:r>
      <w:r>
        <w:t>и неодушевленные предметы;</w:t>
      </w:r>
    </w:p>
    <w:p w14:paraId="D0000000">
      <w:pPr>
        <w:ind/>
        <w:jc w:val="both"/>
      </w:pPr>
      <w:r>
        <w:t xml:space="preserve">   -</w:t>
      </w:r>
      <w:r>
        <w:t xml:space="preserve"> Образование уменьшительно – ла</w:t>
      </w:r>
      <w:r>
        <w:t>скательных форм существительных</w:t>
      </w:r>
    </w:p>
    <w:p w14:paraId="D1000000">
      <w:pPr>
        <w:ind/>
        <w:jc w:val="both"/>
      </w:pPr>
      <w:r>
        <w:t xml:space="preserve">   -</w:t>
      </w:r>
      <w:r>
        <w:t xml:space="preserve"> Овладение в активной речи детей формами Р.п. мн.ч. им.существительных ( много яблок, тетрадей и т.д.), формами мн.ч. таких им.существительных как уши, люди, стулья, книги, книжки;</w:t>
      </w:r>
    </w:p>
    <w:p w14:paraId="D2000000">
      <w:pPr>
        <w:ind/>
        <w:jc w:val="both"/>
      </w:pPr>
    </w:p>
    <w:p w14:paraId="D3000000">
      <w:pPr>
        <w:ind/>
        <w:jc w:val="both"/>
      </w:pPr>
      <w:r>
        <w:t xml:space="preserve"> </w:t>
      </w:r>
    </w:p>
    <w:p w14:paraId="D4000000">
      <w:pPr>
        <w:ind/>
        <w:jc w:val="both"/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)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sz w:val="24"/>
    </w:rPr>
  </w:style>
  <w:style w:default="1" w:styleId="Style_1_ch" w:type="character">
    <w:name w:val="Normal"/>
    <w:link w:val="Style_1"/>
    <w:rPr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  <w:style w:default="1" w:styleId="Style_2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2022-05-13T07:39:39Z</dcterms:modified>
</cp:coreProperties>
</file>